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A7DC8">
      <w:pPr>
        <w:pStyle w:val="2"/>
        <w:pageBreakBefore w:val="0"/>
        <w:wordWrap/>
        <w:overflowPunct/>
        <w:topLinePunct w:val="0"/>
        <w:autoSpaceDE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</w:rPr>
        <w:t>宜君县火化设施建设项目(二标段)</w:t>
      </w:r>
    </w:p>
    <w:p w14:paraId="6E652A17">
      <w:pPr>
        <w:pStyle w:val="2"/>
        <w:pageBreakBefore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采购合同</w:t>
      </w:r>
    </w:p>
    <w:p w14:paraId="71A9932D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甲方（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采购方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）：</w:t>
      </w:r>
    </w:p>
    <w:p w14:paraId="5CC2ED9C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乙方（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中标供应商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）：</w:t>
      </w:r>
    </w:p>
    <w:p w14:paraId="4A2DD3EC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根据《中华人民共和国政府采购法》、《中华人民共和国民法典》等法律法规，甲方通过公开招标，选定乙方为中标供应商。甲、乙双方在平等基础上协商一致，达成如下合同条款：</w:t>
      </w:r>
    </w:p>
    <w:p w14:paraId="17813EB2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合同内容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52"/>
        <w:gridCol w:w="2129"/>
        <w:gridCol w:w="708"/>
        <w:gridCol w:w="710"/>
        <w:gridCol w:w="851"/>
        <w:gridCol w:w="951"/>
        <w:gridCol w:w="892"/>
      </w:tblGrid>
      <w:tr w14:paraId="3145E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475" w:type="pct"/>
            <w:vAlign w:val="center"/>
          </w:tcPr>
          <w:p w14:paraId="7EC32D3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01" w:type="pct"/>
            <w:vAlign w:val="center"/>
          </w:tcPr>
          <w:p w14:paraId="3A2C760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产品名称</w:t>
            </w:r>
          </w:p>
        </w:tc>
        <w:tc>
          <w:tcPr>
            <w:tcW w:w="1236" w:type="pct"/>
            <w:vAlign w:val="center"/>
          </w:tcPr>
          <w:p w14:paraId="2A4765A1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品牌、型号</w:t>
            </w:r>
          </w:p>
        </w:tc>
        <w:tc>
          <w:tcPr>
            <w:tcW w:w="411" w:type="pct"/>
            <w:vAlign w:val="center"/>
          </w:tcPr>
          <w:p w14:paraId="1E8C2224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412" w:type="pct"/>
            <w:vAlign w:val="center"/>
          </w:tcPr>
          <w:p w14:paraId="61DD690E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494" w:type="pct"/>
            <w:vAlign w:val="center"/>
          </w:tcPr>
          <w:p w14:paraId="46C76A87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552" w:type="pct"/>
            <w:vAlign w:val="center"/>
          </w:tcPr>
          <w:p w14:paraId="5295A22B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总价</w:t>
            </w:r>
          </w:p>
        </w:tc>
        <w:tc>
          <w:tcPr>
            <w:tcW w:w="516" w:type="pct"/>
            <w:vAlign w:val="center"/>
          </w:tcPr>
          <w:p w14:paraId="26B823F5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54478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475" w:type="pct"/>
            <w:vAlign w:val="center"/>
          </w:tcPr>
          <w:p w14:paraId="44C7015F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901" w:type="pct"/>
            <w:vAlign w:val="center"/>
          </w:tcPr>
          <w:p w14:paraId="3A578C32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236" w:type="pct"/>
            <w:vAlign w:val="center"/>
          </w:tcPr>
          <w:p w14:paraId="72291689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76B790B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2" w:type="pct"/>
            <w:vAlign w:val="center"/>
          </w:tcPr>
          <w:p w14:paraId="40C3B160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7AC676A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112CB551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16" w:type="pct"/>
            <w:vAlign w:val="center"/>
          </w:tcPr>
          <w:p w14:paraId="616970A9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F8E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475" w:type="pct"/>
            <w:vAlign w:val="center"/>
          </w:tcPr>
          <w:p w14:paraId="65265152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901" w:type="pct"/>
            <w:vAlign w:val="center"/>
          </w:tcPr>
          <w:p w14:paraId="10602A0C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236" w:type="pct"/>
            <w:vAlign w:val="center"/>
          </w:tcPr>
          <w:p w14:paraId="43D90998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10CAC1C7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2" w:type="pct"/>
            <w:vAlign w:val="center"/>
          </w:tcPr>
          <w:p w14:paraId="7ADB3544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701D0E9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4144C64E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16" w:type="pct"/>
            <w:vAlign w:val="center"/>
          </w:tcPr>
          <w:p w14:paraId="3D7FC4C5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2DAB4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475" w:type="pct"/>
            <w:vAlign w:val="center"/>
          </w:tcPr>
          <w:p w14:paraId="1F3F18E9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01" w:type="pct"/>
            <w:vAlign w:val="center"/>
          </w:tcPr>
          <w:p w14:paraId="68B04DE2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236" w:type="pct"/>
            <w:vAlign w:val="center"/>
          </w:tcPr>
          <w:p w14:paraId="1DF469AD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4612CE36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12" w:type="pct"/>
            <w:vAlign w:val="center"/>
          </w:tcPr>
          <w:p w14:paraId="2BE21481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A2B33CA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1F2142B6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16" w:type="pct"/>
            <w:vAlign w:val="center"/>
          </w:tcPr>
          <w:p w14:paraId="42779744">
            <w:pPr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B96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376" w:type="pct"/>
            <w:gridSpan w:val="2"/>
            <w:vAlign w:val="center"/>
          </w:tcPr>
          <w:p w14:paraId="4BA76CEE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总计（人民币/元）</w:t>
            </w:r>
          </w:p>
        </w:tc>
        <w:tc>
          <w:tcPr>
            <w:tcW w:w="3623" w:type="pct"/>
            <w:gridSpan w:val="6"/>
            <w:vAlign w:val="center"/>
          </w:tcPr>
          <w:p w14:paraId="2D80DB74">
            <w:pPr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￥：（大写：）</w:t>
            </w:r>
          </w:p>
        </w:tc>
      </w:tr>
    </w:tbl>
    <w:p w14:paraId="56B4B8CB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（参数附件说明）</w:t>
      </w:r>
    </w:p>
    <w:p w14:paraId="57BAEDF0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right="-250" w:rightChars="-104"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乙方负责按以上确定的产品规格、型号及配套内容进行供货，及时运到甲方指定交货地点安装调试，确保所有产品达到最佳运行状态，做好售后服务工作。</w:t>
      </w:r>
    </w:p>
    <w:p w14:paraId="15B910C9">
      <w:pPr>
        <w:pageBreakBefore w:val="0"/>
        <w:wordWrap/>
        <w:overflowPunct/>
        <w:topLinePunct w:val="0"/>
        <w:autoSpaceDE/>
        <w:bidi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二、合同价格</w:t>
      </w:r>
    </w:p>
    <w:p w14:paraId="4180DBEC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合同总价：人民币大写：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；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小写：¥：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元。</w:t>
      </w:r>
    </w:p>
    <w:p w14:paraId="0D28480C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right="-365" w:rightChars="-152"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总价包括：所供货物、服务且验收合格的所有费用，包括出厂价、运杂费（含保险）、仓储保管费、安装调试费、检测费、人工费、利润、税费等其他一切相关费用；包括从产品供应地点到交货地点，且使产品具备使用条件的一切费用。合同总价不可变更，不受市场价变化的影响，不受实际数量变化的影响。</w:t>
      </w:r>
    </w:p>
    <w:p w14:paraId="19EB5EDB">
      <w:pPr>
        <w:pageBreakBefore w:val="0"/>
        <w:wordWrap/>
        <w:overflowPunct/>
        <w:topLinePunct w:val="0"/>
        <w:autoSpaceDE/>
        <w:bidi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三、款项支付</w:t>
      </w:r>
    </w:p>
    <w:p w14:paraId="52EB2F7A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right="-365" w:rightChars="-152"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合同签订后分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次付款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第一次付款：合同签订后乙方设备到场开始安装</w:t>
      </w:r>
      <w:r>
        <w:rPr>
          <w:rFonts w:hint="eastAsia" w:ascii="仿宋" w:hAnsi="仿宋" w:eastAsia="仿宋" w:cs="仿宋"/>
          <w:color w:val="auto"/>
          <w:sz w:val="21"/>
          <w:szCs w:val="21"/>
        </w:rPr>
        <w:t xml:space="preserve"> ，达到付款条件起 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10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日内，支付合同总金额的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.00%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即人民币大写：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；小写：¥：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元。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第二次付款：</w:t>
      </w:r>
      <w:r>
        <w:rPr>
          <w:rFonts w:hint="eastAsia" w:ascii="仿宋" w:hAnsi="仿宋" w:eastAsia="仿宋" w:cs="仿宋"/>
          <w:color w:val="auto"/>
          <w:sz w:val="21"/>
          <w:szCs w:val="21"/>
        </w:rPr>
        <w:t xml:space="preserve">安装完成，验收合格，达到付款条件起 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10</w:t>
      </w:r>
      <w:r>
        <w:rPr>
          <w:rFonts w:hint="eastAsia" w:ascii="仿宋" w:hAnsi="仿宋" w:eastAsia="仿宋" w:cs="仿宋"/>
          <w:color w:val="auto"/>
          <w:sz w:val="21"/>
          <w:szCs w:val="21"/>
        </w:rPr>
        <w:t xml:space="preserve"> 日内，支付合同总金额的 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70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.00%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人民币大写：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；小写：¥：</w:t>
      </w:r>
      <w:r>
        <w:rPr>
          <w:rFonts w:hint="eastAsia" w:ascii="仿宋" w:hAnsi="仿宋" w:eastAsia="仿宋" w:cs="仿宋"/>
          <w:color w:val="auto"/>
          <w:sz w:val="21"/>
          <w:szCs w:val="21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元。</w:t>
      </w:r>
    </w:p>
    <w:p w14:paraId="14410795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四、交货条件</w:t>
      </w:r>
    </w:p>
    <w:p w14:paraId="541A11E2">
      <w:pPr>
        <w:pageBreakBefore w:val="0"/>
        <w:kinsoku w:val="0"/>
        <w:wordWrap/>
        <w:overflowPunct/>
        <w:topLinePunct w:val="0"/>
        <w:autoSpaceDE/>
        <w:bidi w:val="0"/>
        <w:spacing w:line="360" w:lineRule="auto"/>
        <w:ind w:right="-365" w:rightChars="-152"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1、交货地点：宜君县殡葬服务中心指定地点</w:t>
      </w:r>
    </w:p>
    <w:p w14:paraId="5089FC0C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2、交货期限：自合同签订之日起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日历天,交货安装调试完毕。</w:t>
      </w:r>
    </w:p>
    <w:p w14:paraId="0CEA3D96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3、质保期：自验收合格之日起1年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中标人承诺的质保时间超过招标文件要求的，按其承诺时间质保。质保期起始时间为终验合格之日。</w:t>
      </w:r>
    </w:p>
    <w:p w14:paraId="3AF8B758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4、质量标准和要求:1）采购火化机应当符合相关强制性标准；智能彩体平板火化炉，为油气两用；保证设备在每天正常使用情况下，使用寿命10年以上。2）采购销烟除尘设备应当符合相关强制性标准；销烟除尘设备应达到环保要求；保证设备在每天正常使用情况下，使用寿命10年以上。</w:t>
      </w:r>
    </w:p>
    <w:p w14:paraId="7B6FFF94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、售后要求：</w:t>
      </w:r>
    </w:p>
    <w:p w14:paraId="23862EF6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在货物使用期间，出现故障或异常，供应商应在 24 小时内响应；若故障或异常不能及时解决，应告知采购人并更换备件；故障或异常修复后，应做好维修或更换记录。</w:t>
      </w:r>
    </w:p>
    <w:p w14:paraId="44001862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负责对甲方提供的设备应配备远程在线诊断，当出现故障时，可显示报警信息，应能根据报警信息提供解决方案;若硬件类，应能指导远程操作。还能实现远程控制前厅操作系统，实现远程火化。到现场维修不得超过5个工作日。</w:t>
      </w:r>
    </w:p>
    <w:p w14:paraId="14BDF34A">
      <w:pPr>
        <w:pageBreakBefore w:val="0"/>
        <w:wordWrap/>
        <w:overflowPunct/>
        <w:topLinePunct w:val="0"/>
        <w:autoSpaceDE/>
        <w:bidi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五、运输方式：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根据产品特性，由乙方在保证产品质量的前提下，自行选择运输及包装方式，发生的一切费用全部由乙方承担。</w:t>
      </w:r>
    </w:p>
    <w:p w14:paraId="07458317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六、质量保证</w:t>
      </w:r>
    </w:p>
    <w:p w14:paraId="7A171830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1、乙方保证所有产品全部符合国家及行业强制性标准；</w:t>
      </w:r>
    </w:p>
    <w:p w14:paraId="15033AB3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2、乙方保证所提供的产品质量可靠，进货渠道正常，配置合理，技术性能完全满足招标文件要求；</w:t>
      </w:r>
    </w:p>
    <w:p w14:paraId="7C6D586F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若产品所用原材料或加工工艺造成的质量和内外观缺陷问题，由乙方负责解决并承担费用。（乙方保证货物是全新的、未曾使用过的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4B77BC7A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4、产品性能未达到技术要求的，乙方限期内进行整改；整改仍达不到要求的，甲方有权解除合同，保留依法索赔的权利。</w:t>
      </w:r>
    </w:p>
    <w:p w14:paraId="04BD5903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5、质保期内若发生产品质量问题，乙方应立即免费解决；否则，甲方有权从剩余合同款中支付相关费用。</w:t>
      </w:r>
    </w:p>
    <w:p w14:paraId="34383F19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314" w:firstLineChars="149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七、安装、调试及技术服务</w:t>
      </w:r>
    </w:p>
    <w:p w14:paraId="7067F106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1、技术资料包括：出厂检测报告、产品使用说明书、合格证等其它相关资料。</w:t>
      </w:r>
    </w:p>
    <w:p w14:paraId="6E03DF13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质保期内免费维护，并免费提供备品、备件，更换故障部件、产品等，乙方在接到用户对所购产品进行维修的要求后，及时到用户现场进行维修服务，全部费用由乙方支付，若需将产品送回生产厂，由乙方支付维修产品所需的往返费用。</w:t>
      </w:r>
    </w:p>
    <w:p w14:paraId="52E03AEB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3、乙方保证产品完全按招标要求提供，若达不到要求，乙方须及时跟甲方沟通协商更换产品，并按照再次验收合格时间相应延长该产品保修期。</w:t>
      </w:r>
    </w:p>
    <w:p w14:paraId="2DA781B9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4、服务承诺：按投标文件中的服务承诺执行。</w:t>
      </w:r>
    </w:p>
    <w:p w14:paraId="07F283C5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5、乙方人员在安装调试过程中出现的安全责任问题由乙方全权负责。</w:t>
      </w:r>
    </w:p>
    <w:p w14:paraId="2877407E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6、设备安装调试结束后，安排技术人员进行培训，达到操作熟练程度。</w:t>
      </w:r>
    </w:p>
    <w:p w14:paraId="009F12A4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八、产品包装及环保要求</w:t>
      </w:r>
    </w:p>
    <w:p w14:paraId="2AA46D27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本项目标的产品如需要包装或快递的，乙方须严格按照“关于印发《商品包装政府采购需求标准（试行）》、 《快递包装政府采购需求标准（试行）》的通知（财办库〔2020〕123号）”规定执行。</w:t>
      </w:r>
    </w:p>
    <w:p w14:paraId="28654E35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43" w:firstLineChars="21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九、违约责任：</w:t>
      </w:r>
    </w:p>
    <w:p w14:paraId="562C4A0E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1、按《中华人民共和国民法典》中的相关条款执行。</w:t>
      </w:r>
    </w:p>
    <w:p w14:paraId="0978ED3C">
      <w:pPr>
        <w:pageBreakBefore w:val="0"/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未按合同要求提供产品或产品质量不能满足合同约定的技术要求，甲方有权终止合同，乙方须无条件全额退回甲方已付给乙方的货款，并向甲方支付合同总价款百分之十的违约金。并保留追究乙方违约责任的权利。</w:t>
      </w:r>
    </w:p>
    <w:p w14:paraId="7AB3DE00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乙方交货或甲方付款时间迟延的，违约方按照每天1%向对方承担违约责任，延迟30天以上，甲方有权解除合同。产品质量问题违约的，除了按照迟延时间计算违约金外，另可以采取退货、换货等方式，由乙方承担一切费用。</w:t>
      </w:r>
    </w:p>
    <w:p w14:paraId="0A8580AF">
      <w:pPr>
        <w:pageBreakBefore w:val="0"/>
        <w:wordWrap/>
        <w:overflowPunct/>
        <w:topLinePunct w:val="0"/>
        <w:autoSpaceDE/>
        <w:bidi w:val="0"/>
        <w:spacing w:line="360" w:lineRule="auto"/>
        <w:ind w:firstLine="532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十、产品验收</w:t>
      </w:r>
    </w:p>
    <w:p w14:paraId="27FCD63A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 xml:space="preserve">1、验收由甲、乙双方相关人员组成的验收小组负责。 </w:t>
      </w:r>
    </w:p>
    <w:p w14:paraId="7856EB3F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2、提供制造厂家的检验测试报告或产品出厂检测报告。</w:t>
      </w:r>
    </w:p>
    <w:p w14:paraId="1FD3FE6E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3、甲方根据合同要求对产品进行到货验收、确认产品的产地、规格、型号和数量。验收依据为已签订的合同文本、投标文件和国内相应的标准、规范。</w:t>
      </w:r>
    </w:p>
    <w:p w14:paraId="559A3462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4、验收合格后，填写产品验收单，并向甲方提交产品所包含的所有资料，以便使用单位日后管理和维护。</w:t>
      </w:r>
    </w:p>
    <w:p w14:paraId="677B8DF1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5、在交割以前产品所发生的一切损失及费用由乙方承担。性能达到技术要求的，验收通过；验收不合格的，限期整改。</w:t>
      </w:r>
    </w:p>
    <w:p w14:paraId="44ED6E5D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6、如因货物的质量问题发生争议，由甲方属地技术质量监督部门进行质量鉴定；货物符合质量标准的，鉴定费由甲方承担；货物不符合质量标准的，鉴定费由乙方承担。</w:t>
      </w:r>
    </w:p>
    <w:p w14:paraId="2C93AD62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十一、合同争议的解决</w:t>
      </w:r>
    </w:p>
    <w:p w14:paraId="6B7B75AC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合同一经签订，不得随意变更、中止或终止。对确需变更、调整或者中止、终止合同的，应按规定履行相应的手续。</w:t>
      </w:r>
    </w:p>
    <w:p w14:paraId="4540E7DB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合同执行中发生争议的，甲、乙双方应协商解决，协商达不成一致时，可向甲方所在地人民法院提起诉讼。</w:t>
      </w:r>
    </w:p>
    <w:p w14:paraId="5BF65804">
      <w:pPr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十二、其它事项</w:t>
      </w:r>
    </w:p>
    <w:p w14:paraId="791DA355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1、甲、乙双方做为合同执行的主体，有义务及时完全履行合同。</w:t>
      </w:r>
    </w:p>
    <w:p w14:paraId="6913A764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2、甲方使用部门代表签署合同，并随时监督合同履行情况。</w:t>
      </w:r>
    </w:p>
    <w:p w14:paraId="134FC284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3、合同未尽事宜，由甲、乙双方协商，协商方案作为本合同不可分割的组成部分，与本合同具有同等法律效力。</w:t>
      </w:r>
    </w:p>
    <w:p w14:paraId="381817F5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4、招标文件和乙方的投标文件以及合同附件均为合同不可分割的部分。</w:t>
      </w:r>
    </w:p>
    <w:p w14:paraId="7CADA30C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5、合同一式陆份，甲方持肆份、乙方执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份。双方签字盖章后生效，合同执行完毕自动失效。（合同的服务承诺长期有效）。</w:t>
      </w:r>
    </w:p>
    <w:p w14:paraId="577FE915">
      <w:pPr>
        <w:pageBreakBefore w:val="0"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6、使用单位收货、验货人员：电话：_______________。　</w:t>
      </w:r>
    </w:p>
    <w:p w14:paraId="661B1A4E">
      <w:pPr>
        <w:pStyle w:val="4"/>
        <w:pageBreakBefore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</w:rPr>
      </w:pPr>
    </w:p>
    <w:p w14:paraId="2C9BA30E">
      <w:pPr>
        <w:pStyle w:val="4"/>
        <w:pageBreakBefore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</w:rPr>
      </w:pPr>
    </w:p>
    <w:p w14:paraId="0947CB20">
      <w:pPr>
        <w:pStyle w:val="4"/>
        <w:pageBreakBefore w:val="0"/>
        <w:wordWrap/>
        <w:overflowPunct/>
        <w:topLinePunct w:val="0"/>
        <w:autoSpaceDE/>
        <w:bidi w:val="0"/>
        <w:spacing w:line="360" w:lineRule="auto"/>
        <w:ind w:left="0"/>
        <w:rPr>
          <w:rFonts w:hint="eastAsia" w:ascii="仿宋" w:hAnsi="仿宋" w:eastAsia="仿宋" w:cs="仿宋"/>
          <w:color w:val="auto"/>
          <w:sz w:val="21"/>
          <w:szCs w:val="21"/>
        </w:rPr>
      </w:pPr>
    </w:p>
    <w:tbl>
      <w:tblPr>
        <w:tblStyle w:val="6"/>
        <w:tblpPr w:leftFromText="180" w:rightFromText="180" w:vertAnchor="text" w:horzAnchor="page" w:tblpXSpec="center" w:tblpY="147"/>
        <w:tblOverlap w:val="never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8"/>
        <w:gridCol w:w="4538"/>
      </w:tblGrid>
      <w:tr w14:paraId="7971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676944B6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甲方：</w:t>
            </w:r>
          </w:p>
        </w:tc>
        <w:tc>
          <w:tcPr>
            <w:tcW w:w="2591" w:type="pct"/>
            <w:noWrap/>
            <w:vAlign w:val="center"/>
          </w:tcPr>
          <w:p w14:paraId="0E7A9B95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乙方：</w:t>
            </w:r>
          </w:p>
        </w:tc>
      </w:tr>
      <w:tr w14:paraId="5701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7FD007F2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　址：</w:t>
            </w:r>
          </w:p>
        </w:tc>
        <w:tc>
          <w:tcPr>
            <w:tcW w:w="2591" w:type="pct"/>
            <w:noWrap/>
            <w:vAlign w:val="center"/>
          </w:tcPr>
          <w:p w14:paraId="7F6AC56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　址：</w:t>
            </w:r>
          </w:p>
        </w:tc>
      </w:tr>
      <w:tr w14:paraId="2933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1D069812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授权代理人：　</w:t>
            </w:r>
          </w:p>
        </w:tc>
        <w:tc>
          <w:tcPr>
            <w:tcW w:w="2591" w:type="pct"/>
            <w:noWrap/>
            <w:vAlign w:val="center"/>
          </w:tcPr>
          <w:p w14:paraId="1AF9C53A">
            <w:pPr>
              <w:pageBreakBefore w:val="0"/>
              <w:tabs>
                <w:tab w:val="left" w:pos="5355"/>
              </w:tabs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授权代理人</w:t>
            </w:r>
          </w:p>
        </w:tc>
      </w:tr>
      <w:tr w14:paraId="0956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66B51998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联系电话：</w:t>
            </w:r>
          </w:p>
        </w:tc>
        <w:tc>
          <w:tcPr>
            <w:tcW w:w="2591" w:type="pct"/>
            <w:noWrap/>
            <w:vAlign w:val="center"/>
          </w:tcPr>
          <w:p w14:paraId="22D9C130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联系电话：</w:t>
            </w:r>
          </w:p>
        </w:tc>
      </w:tr>
      <w:tr w14:paraId="7F22B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7B768DB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开户行：</w:t>
            </w:r>
          </w:p>
        </w:tc>
        <w:tc>
          <w:tcPr>
            <w:tcW w:w="2591" w:type="pct"/>
            <w:noWrap/>
            <w:vAlign w:val="center"/>
          </w:tcPr>
          <w:p w14:paraId="6D0B2F09">
            <w:pPr>
              <w:pageBreakBefore w:val="0"/>
              <w:tabs>
                <w:tab w:val="left" w:pos="5355"/>
              </w:tabs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开户行：</w:t>
            </w:r>
          </w:p>
        </w:tc>
      </w:tr>
      <w:tr w14:paraId="05044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26205FE1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账号：</w:t>
            </w:r>
          </w:p>
        </w:tc>
        <w:tc>
          <w:tcPr>
            <w:tcW w:w="2591" w:type="pct"/>
            <w:noWrap/>
            <w:vAlign w:val="center"/>
          </w:tcPr>
          <w:p w14:paraId="1879006D">
            <w:pPr>
              <w:pageBreakBefore w:val="0"/>
              <w:tabs>
                <w:tab w:val="left" w:pos="5355"/>
              </w:tabs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账号：</w:t>
            </w:r>
          </w:p>
        </w:tc>
      </w:tr>
      <w:tr w14:paraId="6791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9" w:type="pct"/>
            <w:noWrap/>
            <w:vAlign w:val="center"/>
          </w:tcPr>
          <w:p w14:paraId="516B662F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日期：年  月   日</w:t>
            </w:r>
          </w:p>
        </w:tc>
        <w:tc>
          <w:tcPr>
            <w:tcW w:w="2591" w:type="pct"/>
            <w:noWrap/>
            <w:vAlign w:val="center"/>
          </w:tcPr>
          <w:p w14:paraId="2550772D">
            <w:pPr>
              <w:pageBreakBefore w:val="0"/>
              <w:wordWrap/>
              <w:overflowPunct/>
              <w:topLinePunct w:val="0"/>
              <w:autoSpaceDE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日期： 年  月  日</w:t>
            </w:r>
          </w:p>
        </w:tc>
      </w:tr>
    </w:tbl>
    <w:p w14:paraId="701AC112">
      <w:pPr>
        <w:pageBreakBefore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</w:rPr>
      </w:pPr>
    </w:p>
    <w:p w14:paraId="574F7A56">
      <w:pPr>
        <w:pStyle w:val="9"/>
        <w:pageBreakBefore w:val="0"/>
        <w:wordWrap/>
        <w:overflowPunct/>
        <w:topLinePunct w:val="0"/>
        <w:autoSpaceDE/>
        <w:bidi w:val="0"/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</w:rPr>
      </w:pPr>
    </w:p>
    <w:p w14:paraId="5D8F431A">
      <w:pPr>
        <w:pStyle w:val="9"/>
        <w:rPr>
          <w:rFonts w:hint="eastAsia" w:ascii="仿宋" w:hAnsi="仿宋" w:eastAsia="仿宋" w:cs="仿宋"/>
          <w:color w:val="auto"/>
          <w:sz w:val="20"/>
          <w:szCs w:val="20"/>
        </w:rPr>
      </w:pPr>
      <w:bookmarkStart w:id="0" w:name="_GoBack"/>
      <w:bookmarkEnd w:id="0"/>
    </w:p>
    <w:p w14:paraId="45B67411">
      <w:pPr>
        <w:pStyle w:val="9"/>
        <w:rPr>
          <w:rFonts w:hint="eastAsia" w:ascii="仿宋" w:hAnsi="仿宋" w:eastAsia="仿宋" w:cs="仿宋"/>
          <w:sz w:val="20"/>
          <w:szCs w:val="20"/>
        </w:rPr>
      </w:pPr>
    </w:p>
    <w:p w14:paraId="1E07FDED"/>
    <w:p w14:paraId="2E029924"/>
    <w:sectPr>
      <w:footerReference r:id="rId5" w:type="default"/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64597363"/>
      <w:docPartObj>
        <w:docPartGallery w:val="autotext"/>
      </w:docPartObj>
    </w:sdtPr>
    <w:sdtContent>
      <w:p w14:paraId="5F2D6F66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699A9A49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4716"/>
    <w:rsid w:val="0B6E1EE8"/>
    <w:rsid w:val="136C6BDF"/>
    <w:rsid w:val="161C0D90"/>
    <w:rsid w:val="1C466EEF"/>
    <w:rsid w:val="216F6ECA"/>
    <w:rsid w:val="217D030F"/>
    <w:rsid w:val="23FA3D93"/>
    <w:rsid w:val="27360885"/>
    <w:rsid w:val="2A0C77FC"/>
    <w:rsid w:val="2EF01665"/>
    <w:rsid w:val="2F740E9D"/>
    <w:rsid w:val="2FB1116B"/>
    <w:rsid w:val="2FF70A0A"/>
    <w:rsid w:val="305D4027"/>
    <w:rsid w:val="31C84EF2"/>
    <w:rsid w:val="31D367ED"/>
    <w:rsid w:val="32562ADC"/>
    <w:rsid w:val="449000D0"/>
    <w:rsid w:val="4DF23BA9"/>
    <w:rsid w:val="4E241889"/>
    <w:rsid w:val="507A1A0D"/>
    <w:rsid w:val="54EE750F"/>
    <w:rsid w:val="59C36E2A"/>
    <w:rsid w:val="5A3B32E9"/>
    <w:rsid w:val="5A667ADA"/>
    <w:rsid w:val="5BCF1086"/>
    <w:rsid w:val="60123380"/>
    <w:rsid w:val="618535EF"/>
    <w:rsid w:val="61A8462B"/>
    <w:rsid w:val="68773881"/>
    <w:rsid w:val="7156797C"/>
    <w:rsid w:val="78044C6A"/>
    <w:rsid w:val="787C6A0F"/>
    <w:rsid w:val="7B9E7C41"/>
    <w:rsid w:val="7D16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tabs>
        <w:tab w:val="left" w:pos="480"/>
      </w:tabs>
    </w:pPr>
    <w:rPr>
      <w:rFonts w:ascii="Calibri" w:hAnsi="Calibri"/>
      <w:sz w:val="20"/>
    </w:rPr>
  </w:style>
  <w:style w:type="paragraph" w:styleId="4">
    <w:name w:val="Block Text"/>
    <w:basedOn w:val="1"/>
    <w:qFormat/>
    <w:uiPriority w:val="0"/>
    <w:pPr>
      <w:widowControl w:val="0"/>
      <w:adjustRightInd w:val="0"/>
      <w:ind w:left="420" w:right="33"/>
      <w:textAlignment w:val="baseline"/>
    </w:pPr>
    <w:rPr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customStyle="1" w:styleId="8">
    <w:name w:val="正文文字"/>
    <w:next w:val="1"/>
    <w:autoRedefine/>
    <w:qFormat/>
    <w:uiPriority w:val="0"/>
    <w:pPr>
      <w:adjustRightInd w:val="0"/>
      <w:snapToGrid w:val="0"/>
      <w:spacing w:after="120" w:line="600" w:lineRule="exact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0">
    <w:name w:val="font41"/>
    <w:basedOn w:val="7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1">
    <w:name w:val="font51"/>
    <w:basedOn w:val="7"/>
    <w:autoRedefine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2546</Words>
  <Characters>2586</Characters>
  <Lines>0</Lines>
  <Paragraphs>0</Paragraphs>
  <TotalTime>1</TotalTime>
  <ScaleCrop>false</ScaleCrop>
  <LinksUpToDate>false</LinksUpToDate>
  <CharactersWithSpaces>2679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2024-11-22T09:09:00Z</dcterms:created>
  <dc:creator>lenovo</dc:creator>
  <cp:lastModifiedBy>Hanson 汉森</cp:lastModifiedBy>
  <dcterms:modified xsi:type="dcterms:W3CDTF">2026-05-08T03:15:45Z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A2A3B2135E704BCA983A4274F0B0E0A6_13</vt:lpwstr>
  </property>
  <property fmtid="{D5CDD505-2E9C-101B-9397-08002B2CF9AE}" pid="4" name="KSOTemplateDocerSaveRecord">
    <vt:lpwstr>eyJoZGlkIjoiMDk3Y2Y1MjYwZDg0YjIxNDdiNGQwOWUxMDA2MzhjNGUiLCJ1c2VySWQiOiI1MTAwOTgyNjgifQ==</vt:lpwstr>
  </property>
</Properties>
</file>